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84" w:rsidRPr="00967637" w:rsidRDefault="000506EC" w:rsidP="00967637">
      <w:pPr>
        <w:jc w:val="center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IL PROGETTO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DI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VITA</w:t>
      </w:r>
    </w:p>
    <w:p w:rsidR="006A7B84" w:rsidRPr="00967637" w:rsidRDefault="000506EC" w:rsidP="00967637">
      <w:p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Spesso</w:t>
      </w:r>
      <w:r w:rsidR="006A7B84"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quando si sente parlare di progetto di vita per persone con disabilità viene</w:t>
      </w:r>
      <w:r w:rsidR="00967637"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spontanea una domanda: “</w:t>
      </w:r>
      <w:r w:rsidR="006A7B84"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>di cosa si tratta?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”.</w:t>
      </w:r>
    </w:p>
    <w:p w:rsidR="006A7B84" w:rsidRPr="00967637" w:rsidRDefault="000506EC" w:rsidP="00967637">
      <w:p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A</w:t>
      </w:r>
      <w:r w:rsidR="006A7B84"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questo quesito certamente risponderanno i relatori che si alterneranno nel corso di questa giornata.</w:t>
      </w:r>
    </w:p>
    <w:p w:rsidR="00967637" w:rsidRPr="00967637" w:rsidRDefault="006A7B84" w:rsidP="00967637">
      <w:p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Io tento di motivare le ragioni per le quali un’associazione come Anffas </w:t>
      </w:r>
      <w:r w:rsidR="00DB2CA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Bergamo </w:t>
      </w:r>
      <w:r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>ha sentito il bi</w:t>
      </w:r>
      <w:r w:rsidR="000506EC">
        <w:rPr>
          <w:rFonts w:ascii="Arial" w:hAnsi="Arial" w:cs="Arial"/>
          <w:color w:val="222222"/>
          <w:sz w:val="24"/>
          <w:szCs w:val="24"/>
          <w:shd w:val="clear" w:color="auto" w:fill="FFFFFF"/>
        </w:rPr>
        <w:t>sogno di parlare di questo tema. V</w:t>
      </w:r>
      <w:r w:rsidR="00967637"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>orrei</w:t>
      </w:r>
      <w:r w:rsidR="000506E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quindi</w:t>
      </w:r>
      <w:r w:rsidR="00967637"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partire dalla considerazione di cosa sia un progetto. </w:t>
      </w:r>
    </w:p>
    <w:p w:rsidR="00FD71E7" w:rsidRPr="00967637" w:rsidRDefault="003911A8" w:rsidP="00967637">
      <w:p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>Un </w:t>
      </w:r>
      <w:r w:rsidRPr="00967637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progetto</w:t>
      </w:r>
      <w:r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> consiste, in senso generale, nell'organizzazione di azioni nel tempo per il perseguimento di uno scopo predefinito, attraverso le varie fasi di </w:t>
      </w:r>
      <w:hyperlink r:id="rId5" w:tooltip="Progettazione" w:history="1">
        <w:r w:rsidRPr="000506EC">
          <w:rPr>
            <w:rStyle w:val="Collegamentoipertestuale"/>
            <w:rFonts w:ascii="Arial" w:hAnsi="Arial" w:cs="Arial"/>
            <w:color w:val="0B0080"/>
            <w:sz w:val="24"/>
            <w:szCs w:val="24"/>
            <w:shd w:val="clear" w:color="auto" w:fill="FFFFFF"/>
          </w:rPr>
          <w:t>progettazione</w:t>
        </w:r>
      </w:hyperlink>
      <w:r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> da parte di uno o più</w:t>
      </w:r>
      <w:r w:rsidRPr="008C2F1A">
        <w:rPr>
          <w:rFonts w:ascii="Arial" w:hAnsi="Arial" w:cs="Arial"/>
          <w:sz w:val="24"/>
          <w:szCs w:val="24"/>
          <w:shd w:val="clear" w:color="auto" w:fill="FFFFFF"/>
        </w:rPr>
        <w:t> </w:t>
      </w:r>
      <w:hyperlink r:id="rId6" w:history="1">
        <w:r w:rsidRPr="008C2F1A">
          <w:rPr>
            <w:rStyle w:val="Collegamentoipertestuale"/>
            <w:rFonts w:ascii="Arial" w:hAnsi="Arial" w:cs="Arial"/>
            <w:color w:val="auto"/>
            <w:sz w:val="24"/>
            <w:szCs w:val="24"/>
            <w:shd w:val="clear" w:color="auto" w:fill="FFFFFF"/>
          </w:rPr>
          <w:t>progettisti</w:t>
        </w:r>
      </w:hyperlink>
      <w:r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>. Scopo finale è la realizzazione di un </w:t>
      </w:r>
      <w:hyperlink r:id="rId7" w:tooltip="Bene (economia)" w:history="1">
        <w:r w:rsidRPr="000506EC">
          <w:rPr>
            <w:rStyle w:val="Collegamentoipertestuale"/>
            <w:rFonts w:ascii="Arial" w:hAnsi="Arial" w:cs="Arial"/>
            <w:color w:val="0B0080"/>
            <w:sz w:val="24"/>
            <w:szCs w:val="24"/>
            <w:shd w:val="clear" w:color="auto" w:fill="FFFFFF"/>
          </w:rPr>
          <w:t>bene</w:t>
        </w:r>
      </w:hyperlink>
      <w:r w:rsidRPr="000506EC">
        <w:rPr>
          <w:rFonts w:ascii="Arial" w:hAnsi="Arial" w:cs="Arial"/>
          <w:color w:val="222222"/>
          <w:sz w:val="24"/>
          <w:szCs w:val="24"/>
          <w:u w:val="single"/>
          <w:shd w:val="clear" w:color="auto" w:fill="FFFFFF"/>
        </w:rPr>
        <w:t> o </w:t>
      </w:r>
      <w:hyperlink r:id="rId8" w:tooltip="Servizio" w:history="1">
        <w:r w:rsidRPr="000506EC">
          <w:rPr>
            <w:rStyle w:val="Collegamentoipertestuale"/>
            <w:rFonts w:ascii="Arial" w:hAnsi="Arial" w:cs="Arial"/>
            <w:color w:val="0B0080"/>
            <w:sz w:val="24"/>
            <w:szCs w:val="24"/>
            <w:shd w:val="clear" w:color="auto" w:fill="FFFFFF"/>
          </w:rPr>
          <w:t>servizio</w:t>
        </w:r>
      </w:hyperlink>
      <w:r w:rsidR="000506EC">
        <w:t>,</w:t>
      </w:r>
      <w:r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> il cui ciclo di sviluppo è gestito tipicamente attraverso tecniche di </w:t>
      </w:r>
      <w:hyperlink r:id="rId9" w:tooltip="Project management" w:history="1">
        <w:r w:rsidRPr="000506EC">
          <w:rPr>
            <w:rStyle w:val="Collegamentoipertestuale"/>
            <w:rFonts w:ascii="Arial" w:hAnsi="Arial" w:cs="Arial"/>
            <w:color w:val="0B0080"/>
            <w:sz w:val="24"/>
            <w:szCs w:val="24"/>
            <w:shd w:val="clear" w:color="auto" w:fill="FFFFFF"/>
          </w:rPr>
          <w:t>project management</w:t>
        </w:r>
      </w:hyperlink>
      <w:r w:rsidRPr="00967637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:rsidR="00E9066C" w:rsidRPr="00967637" w:rsidRDefault="00E9066C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Il progetto si caratterizza per la preventiva individuazione di azioni, tempi, risorse, ruoli e aspettative di risultato</w:t>
      </w:r>
      <w:r w:rsidR="000506E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che vengono definite a seguito di un'analisi preliminare in ordine a:</w:t>
      </w:r>
    </w:p>
    <w:p w:rsidR="00E9066C" w:rsidRPr="00967637" w:rsidRDefault="00E9066C" w:rsidP="00967637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risultati attesi (aspettative di risultato/obiettivo da conseguire)</w:t>
      </w:r>
      <w:r w:rsidR="000506E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;</w:t>
      </w:r>
    </w:p>
    <w:p w:rsidR="00E9066C" w:rsidRPr="00967637" w:rsidRDefault="00E9066C" w:rsidP="00967637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caratteristiche del contesto (opportunità e limiti)</w:t>
      </w:r>
      <w:r w:rsidR="000506E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;</w:t>
      </w:r>
    </w:p>
    <w:p w:rsidR="00E9066C" w:rsidRPr="00967637" w:rsidRDefault="00E9066C" w:rsidP="00967637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ruoli e risorse disponibili (professionalità, disponibilità, risorse finanziarie, tempo, ecc...)</w:t>
      </w:r>
      <w:r w:rsidR="000506EC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</w:t>
      </w:r>
    </w:p>
    <w:p w:rsidR="00E9066C" w:rsidRPr="00967637" w:rsidRDefault="00E9066C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Il termine deriva dal </w:t>
      </w:r>
      <w:hyperlink r:id="rId10" w:tooltip="Lingua latina" w:history="1">
        <w:r w:rsidRPr="00967637">
          <w:rPr>
            <w:rFonts w:ascii="Arial" w:eastAsia="Times New Roman" w:hAnsi="Arial" w:cs="Arial"/>
            <w:color w:val="0B0080"/>
            <w:sz w:val="24"/>
            <w:szCs w:val="24"/>
            <w:u w:val="single"/>
            <w:lang w:eastAsia="it-IT"/>
          </w:rPr>
          <w:t>latino</w:t>
        </w:r>
      </w:hyperlink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 </w:t>
      </w:r>
      <w:proofErr w:type="spellStart"/>
      <w:r w:rsidRPr="0096763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proiectum</w:t>
      </w:r>
      <w:proofErr w:type="spellEnd"/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participio passato del verbo </w:t>
      </w:r>
      <w:proofErr w:type="spellStart"/>
      <w:r w:rsidRPr="0096763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proicere</w:t>
      </w:r>
      <w:proofErr w:type="spellEnd"/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letteralmente traducibile con </w:t>
      </w:r>
      <w:r w:rsidRPr="0096763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gettare avanti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; il che spiega anche l'assonanza </w:t>
      </w:r>
      <w:hyperlink r:id="rId11" w:tooltip="Etimologia" w:history="1">
        <w:r w:rsidRPr="00FB0EC2">
          <w:rPr>
            <w:rFonts w:ascii="Arial" w:eastAsia="Times New Roman" w:hAnsi="Arial" w:cs="Arial"/>
            <w:color w:val="000000" w:themeColor="text1"/>
            <w:sz w:val="24"/>
            <w:szCs w:val="24"/>
            <w:lang w:eastAsia="it-IT"/>
          </w:rPr>
          <w:t>etimologica</w:t>
        </w:r>
      </w:hyperlink>
      <w:r w:rsidRPr="00FB0EC2">
        <w:rPr>
          <w:rFonts w:ascii="Arial" w:eastAsia="Times New Roman" w:hAnsi="Arial" w:cs="Arial"/>
          <w:color w:val="000000" w:themeColor="text1"/>
          <w:sz w:val="24"/>
          <w:szCs w:val="24"/>
          <w:lang w:eastAsia="it-IT"/>
        </w:rPr>
        <w:t> 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dei verbi italiani </w:t>
      </w:r>
      <w:r w:rsidRPr="0096763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proiettare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 e </w:t>
      </w:r>
      <w:r w:rsidRPr="0096763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progettare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</w:t>
      </w:r>
    </w:p>
    <w:p w:rsidR="006A7B84" w:rsidRPr="00967637" w:rsidRDefault="00E9066C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Il termine progetto è strettamente associato a quello di </w:t>
      </w:r>
      <w:r w:rsidRPr="00967637">
        <w:rPr>
          <w:rFonts w:ascii="Arial" w:eastAsia="Times New Roman" w:hAnsi="Arial" w:cs="Arial"/>
          <w:i/>
          <w:iCs/>
          <w:color w:val="222222"/>
          <w:sz w:val="24"/>
          <w:szCs w:val="24"/>
          <w:lang w:eastAsia="it-IT"/>
        </w:rPr>
        <w:t>gestione del progetto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 che deriva dal termine inglese </w:t>
      </w:r>
      <w:hyperlink r:id="rId12" w:tooltip="Project management" w:history="1">
        <w:r w:rsidRPr="00967637">
          <w:rPr>
            <w:rFonts w:ascii="Arial" w:eastAsia="Times New Roman" w:hAnsi="Arial" w:cs="Arial"/>
            <w:i/>
            <w:iCs/>
            <w:color w:val="0B0080"/>
            <w:sz w:val="24"/>
            <w:szCs w:val="24"/>
            <w:u w:val="single"/>
            <w:lang w:eastAsia="it-IT"/>
          </w:rPr>
          <w:t>project management</w:t>
        </w:r>
      </w:hyperlink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</w:t>
      </w:r>
    </w:p>
    <w:p w:rsidR="006A7B84" w:rsidRPr="00967637" w:rsidRDefault="000506EC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Come potete immaginare</w:t>
      </w:r>
      <w:r w:rsidR="006A7B84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predisporre un progetto è un’azione veramente impegnativa,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tanto più se si stratta d</w:t>
      </w:r>
      <w:r w:rsidR="006A7B84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un progetto di vit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</w:t>
      </w:r>
      <w:r w:rsidR="006A7B84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</w:t>
      </w:r>
    </w:p>
    <w:p w:rsidR="00E9066C" w:rsidRPr="00967637" w:rsidRDefault="006A7B84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Non parliamo di costruire una casa, un ponte, </w:t>
      </w:r>
      <w:r w:rsidR="00B92106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un grattacie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lo, una navicella spaziale ecc., ma dobbiamo ipotizzare</w:t>
      </w:r>
      <w:r w:rsidR="00B92106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come costruire un percorso che sia di sostegno alle persone con disabilità più o meno grave e della </w:t>
      </w:r>
      <w:r w:rsidR="00DB2CA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loro</w:t>
      </w:r>
      <w:r w:rsidR="00B92106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famiglia.</w:t>
      </w:r>
    </w:p>
    <w:p w:rsidR="00B92106" w:rsidRPr="008C2133" w:rsidRDefault="00406B85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Ogni genitore generalmente si fa</w:t>
      </w:r>
      <w:r w:rsidR="00B92106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delle fantasie su come sarà la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vita dei propri</w:t>
      </w:r>
      <w:r w:rsidR="008C213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figli, a volte anche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esagerando e proiettando le proprie</w:t>
      </w:r>
      <w:r w:rsidR="00B92106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aspettative e/o frustrazioni sui figli</w:t>
      </w:r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stessi. N</w:t>
      </w:r>
      <w:r w:rsidR="00B92106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ella maggior parte dei casi i genitori di persone con disabilità,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in particolare disabilità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medio-</w:t>
      </w:r>
      <w:r w:rsidR="00B92106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gravi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="00B92106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8C213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hanno difficoltà anche solo ad immaginare un futuro per i propri figli</w:t>
      </w:r>
      <w:r w:rsidR="00B92106" w:rsidRPr="00406B85">
        <w:rPr>
          <w:rFonts w:ascii="Arial" w:eastAsia="Times New Roman" w:hAnsi="Arial" w:cs="Arial"/>
          <w:color w:val="FF0000"/>
          <w:sz w:val="24"/>
          <w:szCs w:val="24"/>
          <w:lang w:eastAsia="it-IT"/>
        </w:rPr>
        <w:t>.</w:t>
      </w:r>
      <w:r w:rsidRPr="008C2133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8C2133">
        <w:rPr>
          <w:rFonts w:ascii="Arial" w:eastAsia="Times New Roman" w:hAnsi="Arial" w:cs="Arial"/>
          <w:sz w:val="24"/>
          <w:szCs w:val="24"/>
          <w:lang w:eastAsia="it-IT"/>
        </w:rPr>
        <w:t>A volte l’unico desiderio è che il figlio possa vivere il più a lungo possibile</w:t>
      </w:r>
      <w:r w:rsidR="00B92106" w:rsidRPr="008C2133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967637" w:rsidRPr="00967637" w:rsidRDefault="00B92106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Il legislatore</w:t>
      </w:r>
      <w:r w:rsid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con l’art. 14 della legge 328/2000</w:t>
      </w:r>
      <w:r w:rsid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è stato lungimirante</w:t>
      </w:r>
      <w:r w:rsid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inserendo all’interno di una legge quadro che riguarda la disabilità</w:t>
      </w:r>
      <w:r w:rsidR="00967637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un 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articolo che prevede espressamente la necessità di predisporre un progetto di vita per la persona con disabilità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 Questo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deve essere articolato da più soggetti professionalmente idonei con l’amministrazione comunale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che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deve sovraintendere allo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progetto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stesso, </w:t>
      </w:r>
      <w:r w:rsidR="00967637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con il 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coinvolg</w:t>
      </w:r>
      <w:r w:rsidR="00967637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imento del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la persona in questione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 </w:t>
      </w:r>
      <w:r w:rsidR="00967637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del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la sua famiglia</w:t>
      </w:r>
      <w:r w:rsidR="00967637"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</w:t>
      </w:r>
    </w:p>
    <w:p w:rsidR="00B92106" w:rsidRDefault="00967637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In questi anni, nel mio peregrinare per la provincia di Bergamo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incontrando i genitori e i loro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figli presso i vari servizi, tutte le volte che ho parlato d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 qualità di vita delle persone con 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lastRenderedPageBreak/>
        <w:t>disabilità,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che doveva essere articolata all’interno del progetto di vita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mi veniva risposto che non sapevano di cosa si trattasse e che nessuno gliene aveva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mai</w:t>
      </w:r>
      <w:r w:rsidRPr="00967637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parlato.</w:t>
      </w:r>
    </w:p>
    <w:p w:rsidR="00967637" w:rsidRDefault="00967637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T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ralasciando le considerazioni riguardanti a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chi spetta informare e se è giusto che una famiglia non sia a conoscenza delle normative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che porterebbero loro benefici</w:t>
      </w:r>
      <w:r w:rsidR="00577B0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 senza entrare nel merito del ruolo delle associazioni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="00577B0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diciamo che è necessario che i vari soggetti coinvolti nelle problematiche riguardanti la disabilità hanno l’obbligo di farsi parte attiva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="00577B0E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affinché le norme vengano applicate.</w:t>
      </w:r>
    </w:p>
    <w:p w:rsidR="00577B0E" w:rsidRDefault="00577B0E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In particolare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mi riferisco a quelle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norme che migliorerebbero di gran lunga la qualità di vita delle persone che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non per loro scelta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hanno delle fragilità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 che </w:t>
      </w:r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porterebbero</w:t>
      </w:r>
      <w:r w:rsidR="008C2F1A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benefici alla comunità</w:t>
      </w:r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anche da un punto di vista economico</w:t>
      </w:r>
      <w:r w:rsidR="008C2F1A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. Tutto quello che è pianificato correttamente porta 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infatti </w:t>
      </w:r>
      <w:r w:rsidR="008C2F1A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vantaggi diffusi.</w:t>
      </w:r>
    </w:p>
    <w:p w:rsidR="008C2F1A" w:rsidRDefault="008C2F1A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Ognuno di noi ha la necessità di crearsi un progetto di vita,</w:t>
      </w:r>
      <w:r w:rsidR="00DB2CA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di immaginar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si delle prospettive, si inizia da piccolissim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 ad immaginarsi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un futuro.</w:t>
      </w:r>
      <w:r w:rsidR="00406B85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</w:p>
    <w:p w:rsidR="008C2F1A" w:rsidRDefault="008C2F1A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Spesso dimentichiamo che anche le persone con disabilità si pongono nella prospettiva di avere un futuro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anche se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spesso si tende solo a pensare: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“ è già bello che sopravviva”.</w:t>
      </w:r>
    </w:p>
    <w:p w:rsidR="008C2F1A" w:rsidRDefault="00551DA8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In questi mesi di post-</w:t>
      </w:r>
      <w:r w:rsidR="008C2F1A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approvazione della legge 112 sulla vita indipendente si è aperto un grande dibattito che coinvolge i soggetti istituzionali, il terzo settore, le associazioni, la cooperazione sociale, le famiglie e le persone con disabilità.</w:t>
      </w:r>
    </w:p>
    <w:p w:rsidR="008C2F1A" w:rsidRDefault="00551DA8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Un’espressione che è stata ricorrente è “</w:t>
      </w:r>
      <w:r w:rsidR="008C2F1A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il dopo di noi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 w:rsidR="008C2F1A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durante noi”, ciò significa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che dobbiamo </w:t>
      </w:r>
      <w:r w:rsidR="008C2F1A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progettare la vita delle persone con disabilità insieme a loro ed alle loro famiglie sin dalla loro nascita</w:t>
      </w:r>
      <w:r w:rsidR="002E0A0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.</w:t>
      </w:r>
    </w:p>
    <w:p w:rsidR="00F256B0" w:rsidRDefault="002E0A01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Per organizzare questo convegno abbiamo</w:t>
      </w:r>
      <w:r w:rsidR="00F256B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dovuto predisporre un progetto.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r w:rsidR="00F256B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Per prima cosa ci siamo chiesti quale obiettivo volevamo rag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giungere.</w:t>
      </w:r>
      <w:r w:rsidR="00F256B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La risposta è stata semplice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:</w:t>
      </w:r>
      <w:r w:rsidR="00F256B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far conoscere una normativa a favore di persone con disabilità largamente disattesa.</w:t>
      </w:r>
    </w:p>
    <w:p w:rsidR="00F256B0" w:rsidRDefault="00F256B0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Successivamente abbiamo valutato la contestualizzazione e verifica</w:t>
      </w:r>
      <w:r w:rsidR="00DB2CA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to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l’opportunità di effettuare nella provincia di Bergamo un convegno che avesse come tema “il progetto di vita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”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ed abbiamo concl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uso che era necessario proporlo. Q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uanto meno avremmo stimolato i vari soggetti a fare una riflessione sul tema.</w:t>
      </w:r>
    </w:p>
    <w:p w:rsidR="00F256B0" w:rsidRDefault="00551DA8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</w:t>
      </w:r>
      <w:r w:rsidR="009F6A6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quali soggetti proporre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quindi </w:t>
      </w:r>
      <w:r w:rsidR="009F6A6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la riflessione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? D</w:t>
      </w:r>
      <w:r w:rsidR="009F6A6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 qui siamo andati alla ricerca delle professionalità in grado di d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arci un supporto qualificato e un</w:t>
      </w:r>
      <w:r w:rsidR="009F6A6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contributo di alto valore scientifico ed operativo.</w:t>
      </w:r>
    </w:p>
    <w:p w:rsidR="009F6A69" w:rsidRDefault="00551DA8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Di</w:t>
      </w:r>
      <w:r w:rsidR="009F6A6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conseguenza abbiamo strutturato la giornata, come vedete dalla scaletta</w:t>
      </w:r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, iniziando con </w:t>
      </w:r>
      <w:r w:rsidR="009F6A6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la re</w:t>
      </w:r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lazione dell‘ avv. </w:t>
      </w:r>
      <w:proofErr w:type="spellStart"/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Nabila</w:t>
      </w:r>
      <w:proofErr w:type="spellEnd"/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proofErr w:type="spellStart"/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Grisa</w:t>
      </w:r>
      <w:proofErr w:type="spellEnd"/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, </w:t>
      </w:r>
      <w:r w:rsidR="009F6A6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ch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e ci darà una cornice giuridica:</w:t>
      </w:r>
      <w:r w:rsidR="009F6A6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da quale normativa discende la necessità di  predisporre un progetto di vita?</w:t>
      </w:r>
    </w:p>
    <w:p w:rsidR="009F6A69" w:rsidRDefault="009F6A69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Il prof. Luigi Croce ci inquadrerà il tema da un punto di vist</w:t>
      </w:r>
      <w:r w:rsidRPr="008C2133">
        <w:rPr>
          <w:rFonts w:ascii="Arial" w:eastAsia="Times New Roman" w:hAnsi="Arial" w:cs="Arial"/>
          <w:sz w:val="24"/>
          <w:szCs w:val="24"/>
          <w:lang w:eastAsia="it-IT"/>
        </w:rPr>
        <w:t xml:space="preserve">a </w:t>
      </w:r>
      <w:r w:rsidR="008C2133" w:rsidRPr="008C2133">
        <w:rPr>
          <w:rFonts w:ascii="Arial" w:eastAsia="Times New Roman" w:hAnsi="Arial" w:cs="Arial"/>
          <w:sz w:val="24"/>
          <w:szCs w:val="24"/>
          <w:lang w:eastAsia="it-IT"/>
        </w:rPr>
        <w:t>teorico</w:t>
      </w:r>
      <w:r w:rsidRPr="008C2133">
        <w:rPr>
          <w:rFonts w:ascii="Arial" w:eastAsia="Times New Roman" w:hAnsi="Arial" w:cs="Arial"/>
          <w:sz w:val="24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fornendoci tutti gli elementi pedagogici a sostegno della necessità della predisposizione del progetto di vita.</w:t>
      </w:r>
    </w:p>
    <w:p w:rsidR="009F6A69" w:rsidRDefault="009F6A69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La dott.</w:t>
      </w:r>
      <w:r w:rsidR="00DB2CA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ssa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Teresa Salvetti, che approfitto per ringraziare per il sostegno organizzativo che mi ha dato in tutta la fase preparatoria, senza il suo contributo non sarei 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infatti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riuscito a preparare il convegno, cercherà di farci immaginare come si costruisce il progetto di vita, </w:t>
      </w:r>
      <w:r w:rsidR="0060679D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con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quali presupposti e con quali criteri.</w:t>
      </w:r>
    </w:p>
    <w:p w:rsidR="00E97139" w:rsidRDefault="00E97139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 seguire la dott.ssa Maria Carolina Marchesi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 che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ci illustrerà il punto di vista dei comuni e le considera</w:t>
      </w:r>
      <w:r w:rsidR="00DB2CA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z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ioni degli enti</w:t>
      </w:r>
      <w:r w:rsidR="00551DA8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ai quali deve far capo il progetto di vita.</w:t>
      </w:r>
    </w:p>
    <w:p w:rsidR="00E97139" w:rsidRDefault="00E97139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Il dott. Giuseppe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Calicchio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ci illustrerà la posizione dell’ATS.</w:t>
      </w:r>
    </w:p>
    <w:p w:rsidR="009F6A69" w:rsidRDefault="00E97139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Dopo la pausa avremo un breve filmato</w:t>
      </w:r>
      <w:r w:rsidR="00FB0EC2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,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che sarà una metafora di come si costruisce un progetto di vita.  </w:t>
      </w:r>
    </w:p>
    <w:p w:rsidR="00E97139" w:rsidRPr="008C2133" w:rsidRDefault="00E97139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lastRenderedPageBreak/>
        <w:t>Concluderemo, prima di un dibattito aperto</w:t>
      </w:r>
      <w:r w:rsidR="00DB2CA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con una tavola rotonda coordinata dalla dott.ssa  Cristina Borlotti, che avrà come protagonisti: due genitori, due </w:t>
      </w:r>
      <w:r w:rsidRPr="008C2133">
        <w:rPr>
          <w:rFonts w:ascii="Arial" w:eastAsia="Times New Roman" w:hAnsi="Arial" w:cs="Arial"/>
          <w:sz w:val="24"/>
          <w:szCs w:val="24"/>
          <w:lang w:eastAsia="it-IT"/>
        </w:rPr>
        <w:t>operatori social</w:t>
      </w:r>
      <w:r w:rsidR="008C2133" w:rsidRPr="008C2133">
        <w:rPr>
          <w:rFonts w:ascii="Arial" w:eastAsia="Times New Roman" w:hAnsi="Arial" w:cs="Arial"/>
          <w:sz w:val="24"/>
          <w:szCs w:val="24"/>
          <w:lang w:eastAsia="it-IT"/>
        </w:rPr>
        <w:t xml:space="preserve">i, un’assistente sociale, una </w:t>
      </w:r>
      <w:proofErr w:type="spellStart"/>
      <w:r w:rsidR="008C2133" w:rsidRPr="008C2133">
        <w:rPr>
          <w:rFonts w:ascii="Arial" w:eastAsia="Times New Roman" w:hAnsi="Arial" w:cs="Arial"/>
          <w:sz w:val="24"/>
          <w:szCs w:val="24"/>
          <w:lang w:eastAsia="it-IT"/>
        </w:rPr>
        <w:t>piscologa</w:t>
      </w:r>
      <w:proofErr w:type="spellEnd"/>
      <w:r w:rsidR="008C2133" w:rsidRPr="008C2133">
        <w:rPr>
          <w:rFonts w:ascii="Arial" w:eastAsia="Times New Roman" w:hAnsi="Arial" w:cs="Arial"/>
          <w:sz w:val="24"/>
          <w:szCs w:val="24"/>
          <w:lang w:eastAsia="it-IT"/>
        </w:rPr>
        <w:t xml:space="preserve"> e un dirigente scolastico. </w:t>
      </w:r>
    </w:p>
    <w:p w:rsidR="00DB2CA0" w:rsidRDefault="003854CF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Per concludere,</w:t>
      </w:r>
      <w:r w:rsidR="00DB2CA0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quali obiettivi perseg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uire attraverso questo convegno?</w:t>
      </w:r>
    </w:p>
    <w:p w:rsidR="00DB2CA0" w:rsidRDefault="00DB2CA0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Gli obiettivi sono creare sensibilizzazione sul tema e fare in modo che il maggior numero di famiglie e di operatori sociali sappiamo che esiste una legge che</w:t>
      </w:r>
      <w:r w:rsidR="003854C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se applicata</w:t>
      </w:r>
      <w:r w:rsidR="003854C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,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porterà dei benefici </w:t>
      </w:r>
      <w:r w:rsidR="00FB62C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sia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alle persone</w:t>
      </w:r>
      <w:r w:rsidR="003854C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con disabilità</w:t>
      </w:r>
      <w:r w:rsidR="00FB62C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sia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agli operatori</w:t>
      </w:r>
      <w:r w:rsidR="00FB62C9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, perché </w:t>
      </w:r>
      <w:r w:rsidR="003854C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vedranno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fiorire le persone che si sono rivolte a loro per avere un sostegno</w:t>
      </w:r>
      <w:r w:rsidR="003854CF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e un supporto concreto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alle loro fragilità.</w:t>
      </w:r>
    </w:p>
    <w:p w:rsidR="009F6A69" w:rsidRPr="00967637" w:rsidRDefault="009F6A69" w:rsidP="0096763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tbl>
      <w:tblPr>
        <w:tblW w:w="10562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10562"/>
      </w:tblGrid>
      <w:tr w:rsidR="00E9066C" w:rsidRPr="00E9066C" w:rsidTr="006A7B84">
        <w:trPr>
          <w:trHeight w:val="226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6" w:type="dxa"/>
              <w:bottom w:w="0" w:type="dxa"/>
              <w:right w:w="288" w:type="dxa"/>
            </w:tcMar>
            <w:vAlign w:val="center"/>
            <w:hideMark/>
          </w:tcPr>
          <w:p w:rsidR="00E9066C" w:rsidRPr="00E9066C" w:rsidRDefault="00967637" w:rsidP="00967637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9066C" w:rsidRPr="00E9066C" w:rsidTr="006A7B8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6" w:type="dxa"/>
              <w:bottom w:w="0" w:type="dxa"/>
              <w:right w:w="288" w:type="dxa"/>
            </w:tcMar>
            <w:vAlign w:val="center"/>
            <w:hideMark/>
          </w:tcPr>
          <w:p w:rsidR="00E9066C" w:rsidRPr="00E9066C" w:rsidRDefault="00E9066C" w:rsidP="00967637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</w:tbl>
    <w:p w:rsidR="00E9066C" w:rsidRDefault="00E9066C" w:rsidP="00967637">
      <w:pPr>
        <w:shd w:val="clear" w:color="auto" w:fill="FFFFFF"/>
        <w:spacing w:before="72" w:after="0" w:line="240" w:lineRule="auto"/>
        <w:jc w:val="both"/>
        <w:outlineLvl w:val="2"/>
      </w:pPr>
    </w:p>
    <w:sectPr w:rsidR="00E9066C" w:rsidSect="00FD71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8165E"/>
    <w:multiLevelType w:val="multilevel"/>
    <w:tmpl w:val="1D82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FA80A17"/>
    <w:multiLevelType w:val="multilevel"/>
    <w:tmpl w:val="7BEA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C9821E7"/>
    <w:multiLevelType w:val="multilevel"/>
    <w:tmpl w:val="AC06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F66367F"/>
    <w:multiLevelType w:val="multilevel"/>
    <w:tmpl w:val="B520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911A8"/>
    <w:rsid w:val="000506EC"/>
    <w:rsid w:val="00175B21"/>
    <w:rsid w:val="002E0A01"/>
    <w:rsid w:val="003854CF"/>
    <w:rsid w:val="003911A8"/>
    <w:rsid w:val="00406B85"/>
    <w:rsid w:val="00484373"/>
    <w:rsid w:val="00551DA8"/>
    <w:rsid w:val="00577B0E"/>
    <w:rsid w:val="0060679D"/>
    <w:rsid w:val="00683C33"/>
    <w:rsid w:val="006A7B84"/>
    <w:rsid w:val="006E7948"/>
    <w:rsid w:val="008303A1"/>
    <w:rsid w:val="00865C4B"/>
    <w:rsid w:val="008668B8"/>
    <w:rsid w:val="008C2133"/>
    <w:rsid w:val="008C2F1A"/>
    <w:rsid w:val="00967637"/>
    <w:rsid w:val="009F6A69"/>
    <w:rsid w:val="00B842DE"/>
    <w:rsid w:val="00B92106"/>
    <w:rsid w:val="00DB2CA0"/>
    <w:rsid w:val="00E9066C"/>
    <w:rsid w:val="00E97139"/>
    <w:rsid w:val="00F256B0"/>
    <w:rsid w:val="00FB0EC2"/>
    <w:rsid w:val="00FB62C9"/>
    <w:rsid w:val="00FD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71E7"/>
  </w:style>
  <w:style w:type="paragraph" w:styleId="Titolo3">
    <w:name w:val="heading 3"/>
    <w:basedOn w:val="Normale"/>
    <w:link w:val="Titolo3Carattere"/>
    <w:uiPriority w:val="9"/>
    <w:qFormat/>
    <w:rsid w:val="00E906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911A8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9066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90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w-headline">
    <w:name w:val="mw-headline"/>
    <w:basedOn w:val="Carpredefinitoparagrafo"/>
    <w:rsid w:val="00E9066C"/>
  </w:style>
  <w:style w:type="character" w:customStyle="1" w:styleId="mw-editsection">
    <w:name w:val="mw-editsection"/>
    <w:basedOn w:val="Carpredefinitoparagrafo"/>
    <w:rsid w:val="00E9066C"/>
  </w:style>
  <w:style w:type="character" w:customStyle="1" w:styleId="mw-editsection-bracket">
    <w:name w:val="mw-editsection-bracket"/>
    <w:basedOn w:val="Carpredefinitoparagrafo"/>
    <w:rsid w:val="00E9066C"/>
  </w:style>
  <w:style w:type="character" w:customStyle="1" w:styleId="mw-editsection-divider">
    <w:name w:val="mw-editsection-divider"/>
    <w:basedOn w:val="Carpredefinitoparagrafo"/>
    <w:rsid w:val="00E90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5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Servizi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t.wikipedia.org/wiki/Bene_(economia)" TargetMode="External"/><Relationship Id="rId12" Type="http://schemas.openxmlformats.org/officeDocument/2006/relationships/hyperlink" Target="https://it.wikipedia.org/wiki/Project_managem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.wikipedia.org/wiki/Progettista" TargetMode="External"/><Relationship Id="rId11" Type="http://schemas.openxmlformats.org/officeDocument/2006/relationships/hyperlink" Target="https://it.wikipedia.org/wiki/Etimologia" TargetMode="External"/><Relationship Id="rId5" Type="http://schemas.openxmlformats.org/officeDocument/2006/relationships/hyperlink" Target="https://it.wikipedia.org/wiki/Progettazione" TargetMode="External"/><Relationship Id="rId10" Type="http://schemas.openxmlformats.org/officeDocument/2006/relationships/hyperlink" Target="https://it.wikipedia.org/wiki/Lingua_lati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Project_managem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4</cp:revision>
  <dcterms:created xsi:type="dcterms:W3CDTF">2017-10-01T13:11:00Z</dcterms:created>
  <dcterms:modified xsi:type="dcterms:W3CDTF">2017-10-01T14:09:00Z</dcterms:modified>
</cp:coreProperties>
</file>